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901" w:rsidRPr="00FD3901" w:rsidRDefault="00FD3901" w:rsidP="00FD3901">
      <w:pPr>
        <w:pStyle w:val="a7"/>
        <w:spacing w:line="240" w:lineRule="exact"/>
        <w:jc w:val="left"/>
        <w:rPr>
          <w:rFonts w:ascii="微软雅黑" w:eastAsia="微软雅黑" w:hAnsi="微软雅黑" w:cs="宋体"/>
          <w:b/>
          <w:bCs/>
          <w:color w:val="7030A0"/>
          <w:sz w:val="22"/>
          <w:szCs w:val="22"/>
        </w:rPr>
      </w:pPr>
    </w:p>
    <w:p w:rsidR="002E4896" w:rsidRPr="00FD3901" w:rsidRDefault="002E4896" w:rsidP="00FD3901">
      <w:pPr>
        <w:pStyle w:val="a7"/>
        <w:spacing w:line="600" w:lineRule="exact"/>
        <w:jc w:val="center"/>
        <w:rPr>
          <w:rFonts w:ascii="微软雅黑" w:eastAsia="微软雅黑" w:hAnsi="微软雅黑" w:cs="宋体"/>
          <w:b/>
          <w:bCs/>
          <w:color w:val="7030A0"/>
          <w:sz w:val="40"/>
          <w:szCs w:val="40"/>
        </w:rPr>
      </w:pPr>
      <w:r w:rsidRPr="00FD3901">
        <w:rPr>
          <w:rFonts w:ascii="微软雅黑" w:eastAsia="微软雅黑" w:hAnsi="微软雅黑" w:cs="宋体" w:hint="eastAsia"/>
          <w:b/>
          <w:bCs/>
          <w:color w:val="7030A0"/>
          <w:sz w:val="40"/>
          <w:szCs w:val="40"/>
        </w:rPr>
        <w:t>最高人民法院</w:t>
      </w:r>
    </w:p>
    <w:p w:rsidR="002E4896" w:rsidRPr="00FD3901" w:rsidRDefault="002E4896" w:rsidP="00FD3901">
      <w:pPr>
        <w:pStyle w:val="a7"/>
        <w:spacing w:line="600" w:lineRule="exact"/>
        <w:jc w:val="center"/>
        <w:rPr>
          <w:rFonts w:ascii="微软雅黑" w:eastAsia="微软雅黑" w:hAnsi="微软雅黑" w:cs="宋体"/>
          <w:b/>
          <w:bCs/>
          <w:color w:val="7030A0"/>
          <w:sz w:val="40"/>
          <w:szCs w:val="40"/>
        </w:rPr>
      </w:pPr>
      <w:r w:rsidRPr="00FD3901">
        <w:rPr>
          <w:rFonts w:ascii="微软雅黑" w:eastAsia="微软雅黑" w:hAnsi="微软雅黑" w:cs="宋体" w:hint="eastAsia"/>
          <w:b/>
          <w:bCs/>
          <w:color w:val="7030A0"/>
          <w:sz w:val="40"/>
          <w:szCs w:val="40"/>
        </w:rPr>
        <w:t>关于对因资不抵债无法继续办学被终止</w:t>
      </w:r>
    </w:p>
    <w:p w:rsidR="002E4896" w:rsidRPr="00FD3901" w:rsidRDefault="002E4896" w:rsidP="00FD3901">
      <w:pPr>
        <w:pStyle w:val="a7"/>
        <w:spacing w:line="600" w:lineRule="exact"/>
        <w:jc w:val="center"/>
        <w:rPr>
          <w:rFonts w:ascii="微软雅黑" w:eastAsia="微软雅黑" w:hAnsi="微软雅黑" w:cs="宋体"/>
          <w:b/>
          <w:bCs/>
          <w:color w:val="7030A0"/>
          <w:sz w:val="40"/>
          <w:szCs w:val="40"/>
        </w:rPr>
      </w:pPr>
      <w:r w:rsidRPr="00FD3901">
        <w:rPr>
          <w:rFonts w:ascii="微软雅黑" w:eastAsia="微软雅黑" w:hAnsi="微软雅黑" w:cs="宋体" w:hint="eastAsia"/>
          <w:b/>
          <w:bCs/>
          <w:color w:val="7030A0"/>
          <w:sz w:val="40"/>
          <w:szCs w:val="40"/>
        </w:rPr>
        <w:t>的民办学校如何组织清算问题的批复</w:t>
      </w:r>
    </w:p>
    <w:p w:rsidR="00FD3901" w:rsidRPr="00FD3901" w:rsidRDefault="00FD3901" w:rsidP="00FD3901">
      <w:pPr>
        <w:pStyle w:val="a7"/>
        <w:spacing w:line="240" w:lineRule="exact"/>
        <w:jc w:val="center"/>
        <w:rPr>
          <w:rFonts w:ascii="微软雅黑" w:eastAsia="微软雅黑" w:hAnsi="微软雅黑" w:cs="宋体"/>
          <w:sz w:val="22"/>
          <w:szCs w:val="22"/>
        </w:rPr>
      </w:pPr>
    </w:p>
    <w:p w:rsidR="00FD3901" w:rsidRPr="00FD3901" w:rsidRDefault="00FD3901" w:rsidP="00FD3901">
      <w:pPr>
        <w:pStyle w:val="a7"/>
        <w:spacing w:line="240" w:lineRule="exact"/>
        <w:jc w:val="center"/>
        <w:rPr>
          <w:rFonts w:ascii="微软雅黑" w:eastAsia="微软雅黑" w:hAnsi="微软雅黑" w:cs="宋体"/>
          <w:sz w:val="22"/>
          <w:szCs w:val="22"/>
        </w:rPr>
      </w:pPr>
      <w:r w:rsidRPr="00FD3901">
        <w:rPr>
          <w:rFonts w:ascii="微软雅黑" w:eastAsia="微软雅黑" w:hAnsi="微软雅黑" w:cs="宋体" w:hint="eastAsia"/>
          <w:sz w:val="22"/>
          <w:szCs w:val="22"/>
        </w:rPr>
        <w:t>2021-01-01</w:t>
      </w:r>
    </w:p>
    <w:p w:rsidR="00FD3901" w:rsidRPr="00FD3901" w:rsidRDefault="00FD3901" w:rsidP="00FD3901">
      <w:pPr>
        <w:pStyle w:val="a7"/>
        <w:spacing w:line="240" w:lineRule="exact"/>
        <w:jc w:val="center"/>
        <w:rPr>
          <w:rFonts w:ascii="微软雅黑" w:eastAsia="微软雅黑" w:hAnsi="微软雅黑" w:cs="宋体"/>
          <w:sz w:val="22"/>
          <w:szCs w:val="22"/>
        </w:rPr>
      </w:pPr>
    </w:p>
    <w:p w:rsidR="00FD3901" w:rsidRPr="00FD3901" w:rsidRDefault="00FD3901" w:rsidP="00FD3901">
      <w:pPr>
        <w:pStyle w:val="a7"/>
        <w:spacing w:line="240" w:lineRule="exact"/>
        <w:jc w:val="center"/>
        <w:rPr>
          <w:rFonts w:ascii="微软雅黑" w:eastAsia="微软雅黑" w:hAnsi="微软雅黑" w:cs="宋体"/>
          <w:sz w:val="22"/>
          <w:szCs w:val="22"/>
        </w:rPr>
      </w:pPr>
      <w:r w:rsidRPr="00FD3901">
        <w:rPr>
          <w:rFonts w:ascii="微软雅黑" w:eastAsia="微软雅黑" w:hAnsi="微软雅黑" w:cs="宋体" w:hint="eastAsia"/>
          <w:sz w:val="22"/>
          <w:szCs w:val="22"/>
        </w:rPr>
        <w:t>法释〔2020〕18号 - 11</w:t>
      </w:r>
    </w:p>
    <w:p w:rsidR="00FD3901" w:rsidRPr="00FD3901" w:rsidRDefault="00FD3901" w:rsidP="00FD3901">
      <w:pPr>
        <w:pStyle w:val="a7"/>
        <w:spacing w:line="240" w:lineRule="exact"/>
        <w:jc w:val="center"/>
        <w:rPr>
          <w:rFonts w:ascii="微软雅黑" w:eastAsia="微软雅黑" w:hAnsi="微软雅黑" w:cs="宋体" w:hint="eastAsia"/>
          <w:sz w:val="22"/>
          <w:szCs w:val="22"/>
        </w:rPr>
      </w:pPr>
    </w:p>
    <w:p w:rsidR="002E4896" w:rsidRPr="00FD3901" w:rsidRDefault="002E4896" w:rsidP="00FD3901">
      <w:pPr>
        <w:pStyle w:val="a7"/>
        <w:spacing w:line="240" w:lineRule="exact"/>
        <w:ind w:leftChars="200" w:left="420" w:rightChars="200" w:right="420" w:firstLineChars="200" w:firstLine="420"/>
        <w:jc w:val="left"/>
        <w:rPr>
          <w:rFonts w:ascii="微软雅黑" w:eastAsia="微软雅黑" w:hAnsi="微软雅黑" w:cs="宋体"/>
        </w:rPr>
      </w:pPr>
      <w:r w:rsidRPr="00FD3901">
        <w:rPr>
          <w:rFonts w:ascii="微软雅黑" w:eastAsia="微软雅黑" w:hAnsi="微软雅黑" w:cs="宋体" w:hint="eastAsia"/>
        </w:rPr>
        <w:t>（2010年12月16日最高人民法院审判委员会第1506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2E4896" w:rsidRPr="00FD3901" w:rsidRDefault="002E4896" w:rsidP="00FD3901">
      <w:pPr>
        <w:pStyle w:val="a7"/>
        <w:spacing w:line="240" w:lineRule="exact"/>
        <w:rPr>
          <w:rFonts w:ascii="微软雅黑" w:eastAsia="微软雅黑" w:hAnsi="微软雅黑" w:cs="宋体"/>
          <w:sz w:val="22"/>
          <w:szCs w:val="22"/>
        </w:rPr>
      </w:pPr>
    </w:p>
    <w:p w:rsidR="002E4896" w:rsidRPr="00FD3901" w:rsidRDefault="002E4896" w:rsidP="00FD3901">
      <w:pPr>
        <w:pStyle w:val="a7"/>
        <w:spacing w:line="440" w:lineRule="exact"/>
        <w:rPr>
          <w:rFonts w:ascii="微软雅黑" w:eastAsia="微软雅黑" w:hAnsi="微软雅黑" w:cs="宋体"/>
          <w:sz w:val="24"/>
          <w:szCs w:val="24"/>
        </w:rPr>
      </w:pPr>
      <w:r w:rsidRPr="00FD3901">
        <w:rPr>
          <w:rFonts w:ascii="微软雅黑" w:eastAsia="微软雅黑" w:hAnsi="微软雅黑" w:cs="宋体" w:hint="eastAsia"/>
          <w:b/>
          <w:bCs/>
          <w:sz w:val="24"/>
          <w:szCs w:val="24"/>
        </w:rPr>
        <w:t>贵州省高级人民法院</w:t>
      </w:r>
      <w:r w:rsidRPr="00FD3901">
        <w:rPr>
          <w:rFonts w:ascii="微软雅黑" w:eastAsia="微软雅黑" w:hAnsi="微软雅黑" w:cs="宋体" w:hint="eastAsia"/>
          <w:sz w:val="24"/>
          <w:szCs w:val="24"/>
        </w:rPr>
        <w:t>：</w:t>
      </w:r>
    </w:p>
    <w:p w:rsidR="002E4896" w:rsidRPr="00FD3901" w:rsidRDefault="002E4896" w:rsidP="00FD3901">
      <w:pPr>
        <w:pStyle w:val="a7"/>
        <w:spacing w:line="440" w:lineRule="exact"/>
        <w:rPr>
          <w:rFonts w:ascii="微软雅黑" w:eastAsia="微软雅黑" w:hAnsi="微软雅黑" w:cs="宋体"/>
          <w:sz w:val="24"/>
          <w:szCs w:val="24"/>
        </w:rPr>
      </w:pPr>
      <w:r w:rsidRPr="00FD3901">
        <w:rPr>
          <w:rFonts w:ascii="微软雅黑" w:eastAsia="微软雅黑" w:hAnsi="微软雅黑" w:cs="宋体" w:hint="eastAsia"/>
          <w:sz w:val="24"/>
          <w:szCs w:val="24"/>
        </w:rPr>
        <w:t xml:space="preserve">　　你院《关于遵义县中山中学被终止后人民法院如何受理“组织清算”的请示》〔（2010）黔高研请字第1号〕收悉。经研究，答复如下：</w:t>
      </w:r>
    </w:p>
    <w:p w:rsidR="00195AE0" w:rsidRPr="00FD3901" w:rsidRDefault="002E4896" w:rsidP="00FD3901">
      <w:pPr>
        <w:pStyle w:val="a7"/>
        <w:spacing w:line="440" w:lineRule="exact"/>
        <w:rPr>
          <w:rFonts w:ascii="微软雅黑" w:eastAsia="微软雅黑" w:hAnsi="微软雅黑" w:cs="宋体" w:hint="eastAsia"/>
          <w:sz w:val="24"/>
          <w:szCs w:val="24"/>
        </w:rPr>
      </w:pPr>
      <w:r w:rsidRPr="00FD3901">
        <w:rPr>
          <w:rFonts w:ascii="微软雅黑" w:eastAsia="微软雅黑" w:hAnsi="微软雅黑" w:cs="宋体" w:hint="eastAsia"/>
          <w:sz w:val="24"/>
          <w:szCs w:val="24"/>
        </w:rPr>
        <w:t xml:space="preserve">　　依照《中华人民共和国民办教育促进法》第十条批准设立的民办学校因资不抵债无法继续办学被终止，当事人依照《中华人民共和国民办教育促进法》第五十八条第二款规定向人民法院申请清算的，人民法院应当依法受理。人民法院组织民办学校破产清算，参照适用《中华人民共和国企业破产法》规定的程序，并依照《中华人民共和国民办教育促进法》第五十九条规定的顺序清偿。</w:t>
      </w:r>
      <w:bookmarkStart w:id="0" w:name="_GoBack"/>
      <w:bookmarkEnd w:id="0"/>
    </w:p>
    <w:sectPr w:rsidR="00195AE0" w:rsidRPr="00FD39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079" w:rsidRDefault="00715079" w:rsidP="002E4896">
      <w:r>
        <w:separator/>
      </w:r>
    </w:p>
  </w:endnote>
  <w:endnote w:type="continuationSeparator" w:id="0">
    <w:p w:rsidR="00715079" w:rsidRDefault="00715079" w:rsidP="002E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079" w:rsidRDefault="00715079" w:rsidP="002E4896">
      <w:r>
        <w:separator/>
      </w:r>
    </w:p>
  </w:footnote>
  <w:footnote w:type="continuationSeparator" w:id="0">
    <w:p w:rsidR="00715079" w:rsidRDefault="00715079" w:rsidP="002E4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E4896"/>
    <w:rsid w:val="00195AE0"/>
    <w:rsid w:val="002E4896"/>
    <w:rsid w:val="00715079"/>
    <w:rsid w:val="00FD3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7C979"/>
  <w15:docId w15:val="{6FB0DFF4-5258-4E8E-9255-DBF6655D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E48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E4896"/>
    <w:rPr>
      <w:sz w:val="18"/>
      <w:szCs w:val="18"/>
    </w:rPr>
  </w:style>
  <w:style w:type="paragraph" w:styleId="a5">
    <w:name w:val="footer"/>
    <w:basedOn w:val="a"/>
    <w:link w:val="a6"/>
    <w:uiPriority w:val="99"/>
    <w:semiHidden/>
    <w:unhideWhenUsed/>
    <w:rsid w:val="002E4896"/>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2E4896"/>
    <w:rPr>
      <w:sz w:val="18"/>
      <w:szCs w:val="18"/>
    </w:rPr>
  </w:style>
  <w:style w:type="paragraph" w:styleId="a7">
    <w:name w:val="Plain Text"/>
    <w:basedOn w:val="a"/>
    <w:link w:val="a8"/>
    <w:uiPriority w:val="99"/>
    <w:rsid w:val="002E4896"/>
    <w:rPr>
      <w:rFonts w:ascii="宋体" w:eastAsia="宋体" w:hAnsi="Courier New" w:cs="Courier New"/>
      <w:szCs w:val="21"/>
    </w:rPr>
  </w:style>
  <w:style w:type="character" w:customStyle="1" w:styleId="a8">
    <w:name w:val="纯文本 字符"/>
    <w:basedOn w:val="a0"/>
    <w:link w:val="a7"/>
    <w:uiPriority w:val="99"/>
    <w:rsid w:val="002E489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2021-04-01T01:51:00Z</dcterms:created>
  <dcterms:modified xsi:type="dcterms:W3CDTF">2025-09-15T04:38:00Z</dcterms:modified>
</cp:coreProperties>
</file>